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C9613" w14:textId="77777777" w:rsidR="006514C4" w:rsidRDefault="00637938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458C9627" wp14:editId="458C9628">
            <wp:extent cx="3765236" cy="567975"/>
            <wp:effectExtent l="0" t="0" r="0" b="0"/>
            <wp:docPr id="1" name="image1.jpeg" descr="Continuing Professional Development and Workplace Learn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236" cy="5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C9614" w14:textId="77777777" w:rsidR="006514C4" w:rsidRDefault="006514C4">
      <w:pPr>
        <w:pStyle w:val="BodyText"/>
        <w:rPr>
          <w:rFonts w:ascii="Times New Roman"/>
          <w:sz w:val="20"/>
        </w:rPr>
      </w:pPr>
    </w:p>
    <w:p w14:paraId="458C9615" w14:textId="77777777" w:rsidR="006514C4" w:rsidRDefault="006514C4">
      <w:pPr>
        <w:pStyle w:val="BodyText"/>
        <w:rPr>
          <w:rFonts w:ascii="Times New Roman"/>
          <w:sz w:val="20"/>
        </w:rPr>
      </w:pPr>
    </w:p>
    <w:p w14:paraId="458C9616" w14:textId="77777777" w:rsidR="006514C4" w:rsidRDefault="00637938">
      <w:pPr>
        <w:spacing w:before="173"/>
        <w:ind w:left="1039" w:right="979"/>
        <w:jc w:val="center"/>
        <w:rPr>
          <w:b/>
        </w:rPr>
      </w:pP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2"/>
        </w:rPr>
        <w:t xml:space="preserve"> </w:t>
      </w:r>
      <w:r>
        <w:rPr>
          <w:b/>
        </w:rPr>
        <w:t>Project</w:t>
      </w:r>
    </w:p>
    <w:p w14:paraId="458C9617" w14:textId="77777777" w:rsidR="006514C4" w:rsidRDefault="00637938">
      <w:pPr>
        <w:spacing w:before="183"/>
        <w:ind w:left="1039" w:right="981"/>
        <w:jc w:val="center"/>
        <w:rPr>
          <w:b/>
        </w:rPr>
      </w:pPr>
      <w:r>
        <w:rPr>
          <w:b/>
        </w:rPr>
        <w:t>Professional</w:t>
      </w:r>
      <w:r>
        <w:rPr>
          <w:b/>
          <w:spacing w:val="-3"/>
        </w:rPr>
        <w:t xml:space="preserve"> </w:t>
      </w:r>
      <w:r>
        <w:rPr>
          <w:b/>
        </w:rPr>
        <w:t>learning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LIS</w:t>
      </w:r>
      <w:r>
        <w:rPr>
          <w:b/>
          <w:spacing w:val="-4"/>
        </w:rPr>
        <w:t xml:space="preserve"> </w:t>
      </w:r>
      <w:r>
        <w:rPr>
          <w:b/>
        </w:rPr>
        <w:t>professionals:</w:t>
      </w:r>
      <w:r>
        <w:rPr>
          <w:b/>
          <w:spacing w:val="-4"/>
        </w:rPr>
        <w:t xml:space="preserve"> </w:t>
      </w:r>
      <w:r>
        <w:rPr>
          <w:b/>
        </w:rPr>
        <w:t>Principles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best</w:t>
      </w:r>
      <w:r>
        <w:rPr>
          <w:b/>
          <w:spacing w:val="-3"/>
        </w:rPr>
        <w:t xml:space="preserve"> </w:t>
      </w:r>
      <w:r>
        <w:rPr>
          <w:b/>
        </w:rPr>
        <w:t>practices.</w:t>
      </w:r>
    </w:p>
    <w:p w14:paraId="458C9618" w14:textId="77777777" w:rsidR="006514C4" w:rsidRDefault="00637938">
      <w:pPr>
        <w:spacing w:before="19"/>
        <w:ind w:left="1039" w:right="977"/>
        <w:jc w:val="center"/>
        <w:rPr>
          <w:b/>
        </w:rPr>
      </w:pP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environmental</w:t>
      </w:r>
      <w:r>
        <w:rPr>
          <w:b/>
          <w:spacing w:val="-1"/>
        </w:rPr>
        <w:t xml:space="preserve"> </w:t>
      </w:r>
      <w:r>
        <w:rPr>
          <w:b/>
        </w:rPr>
        <w:t>scan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literature</w:t>
      </w:r>
      <w:r>
        <w:rPr>
          <w:b/>
          <w:spacing w:val="-3"/>
        </w:rPr>
        <w:t xml:space="preserve"> </w:t>
      </w:r>
      <w:r>
        <w:rPr>
          <w:b/>
        </w:rPr>
        <w:t>review</w:t>
      </w:r>
    </w:p>
    <w:p w14:paraId="458C9619" w14:textId="77777777" w:rsidR="006514C4" w:rsidRDefault="006514C4">
      <w:pPr>
        <w:pStyle w:val="BodyText"/>
        <w:rPr>
          <w:b/>
        </w:rPr>
      </w:pPr>
    </w:p>
    <w:p w14:paraId="458C961A" w14:textId="77777777" w:rsidR="006514C4" w:rsidRDefault="006514C4">
      <w:pPr>
        <w:pStyle w:val="BodyText"/>
        <w:spacing w:before="11"/>
        <w:rPr>
          <w:b/>
          <w:sz w:val="29"/>
        </w:rPr>
      </w:pPr>
    </w:p>
    <w:p w14:paraId="458C961B" w14:textId="77777777" w:rsidR="006514C4" w:rsidRDefault="00637938">
      <w:pPr>
        <w:pStyle w:val="BodyText"/>
        <w:spacing w:line="259" w:lineRule="auto"/>
        <w:ind w:left="119" w:right="97"/>
      </w:pPr>
      <w:r>
        <w:t xml:space="preserve">The </w:t>
      </w:r>
      <w:hyperlink r:id="rId8">
        <w:r>
          <w:rPr>
            <w:color w:val="0562C1"/>
            <w:u w:val="single" w:color="0562C1"/>
          </w:rPr>
          <w:t>Continuing Professional Development and Workplace Learning</w:t>
        </w:r>
        <w:r>
          <w:rPr>
            <w:color w:val="0562C1"/>
          </w:rPr>
          <w:t xml:space="preserve"> </w:t>
        </w:r>
      </w:hyperlink>
      <w:r>
        <w:t>(CPDWL) section of the</w:t>
      </w:r>
      <w:r>
        <w:rPr>
          <w:spacing w:val="1"/>
        </w:rPr>
        <w:t xml:space="preserve"> </w:t>
      </w:r>
      <w:hyperlink r:id="rId9">
        <w:r>
          <w:rPr>
            <w:color w:val="0562C1"/>
            <w:u w:val="single" w:color="0562C1"/>
          </w:rPr>
          <w:t>International Federation of Library Associations and Institutions</w:t>
        </w:r>
        <w:r>
          <w:rPr>
            <w:color w:val="0562C1"/>
          </w:rPr>
          <w:t xml:space="preserve"> </w:t>
        </w:r>
      </w:hyperlink>
      <w:r>
        <w:t>(IFLA) has established a working</w:t>
      </w:r>
      <w:r>
        <w:rPr>
          <w:spacing w:val="1"/>
        </w:rPr>
        <w:t xml:space="preserve"> </w:t>
      </w:r>
      <w:r>
        <w:t>party to focus on the review and r</w:t>
      </w:r>
      <w:r>
        <w:t xml:space="preserve">evision of the </w:t>
      </w:r>
      <w:hyperlink r:id="rId10">
        <w:r>
          <w:rPr>
            <w:i/>
            <w:color w:val="0562C1"/>
            <w:u w:val="single" w:color="0562C1"/>
          </w:rPr>
          <w:t>IFLA Guidelines for Continuing Professional</w:t>
        </w:r>
      </w:hyperlink>
      <w:r>
        <w:rPr>
          <w:i/>
          <w:color w:val="0562C1"/>
          <w:spacing w:val="1"/>
        </w:rPr>
        <w:t xml:space="preserve"> </w:t>
      </w:r>
      <w:hyperlink r:id="rId11">
        <w:r>
          <w:rPr>
            <w:i/>
            <w:color w:val="0562C1"/>
            <w:u w:val="single" w:color="0562C1"/>
          </w:rPr>
          <w:t>Development: Principles and Best Practices</w:t>
        </w:r>
        <w:r>
          <w:rPr>
            <w:i/>
            <w:color w:val="0562C1"/>
          </w:rPr>
          <w:t xml:space="preserve"> </w:t>
        </w:r>
      </w:hyperlink>
      <w:r>
        <w:t>(2016)</w:t>
      </w:r>
      <w:r>
        <w:rPr>
          <w:i/>
        </w:rPr>
        <w:t xml:space="preserve">. </w:t>
      </w:r>
      <w:r>
        <w:t xml:space="preserve">The current version of the </w:t>
      </w:r>
      <w:r>
        <w:rPr>
          <w:i/>
        </w:rPr>
        <w:t xml:space="preserve">Guidelines </w:t>
      </w:r>
      <w:r>
        <w:t>reflects the</w:t>
      </w:r>
      <w:r>
        <w:rPr>
          <w:spacing w:val="1"/>
        </w:rPr>
        <w:t xml:space="preserve"> </w:t>
      </w:r>
      <w:r>
        <w:t xml:space="preserve">detailed work undertaken by Jana Varlejs and colleagues in 2014-2015. In developing the </w:t>
      </w:r>
      <w:r>
        <w:rPr>
          <w:i/>
        </w:rPr>
        <w:t>Guidelines,</w:t>
      </w:r>
      <w:r>
        <w:rPr>
          <w:i/>
          <w:spacing w:val="-47"/>
        </w:rPr>
        <w:t xml:space="preserve"> </w:t>
      </w:r>
      <w:r>
        <w:t>an extensive literature review was undertaken to deepen our understanding of the roles and</w:t>
      </w:r>
      <w:r>
        <w:rPr>
          <w:spacing w:val="1"/>
        </w:rPr>
        <w:t xml:space="preserve"> </w:t>
      </w:r>
      <w:r>
        <w:t>responsibiliti</w:t>
      </w:r>
      <w:r>
        <w:t>es of the five representative stakeholder groups that are central to the landscape of</w:t>
      </w:r>
      <w:r>
        <w:rPr>
          <w:spacing w:val="1"/>
        </w:rPr>
        <w:t xml:space="preserve"> </w:t>
      </w:r>
      <w:r>
        <w:t>continuing professional agenda: Learners, Employers, Professional Associations and other bodies</w:t>
      </w:r>
      <w:r>
        <w:rPr>
          <w:spacing w:val="1"/>
        </w:rPr>
        <w:t xml:space="preserve"> </w:t>
      </w:r>
      <w:r>
        <w:t>that have library development responsibilities, LIS Educators and LIS Trai</w:t>
      </w:r>
      <w:r>
        <w:t>ning Providers. The 2016</w:t>
      </w:r>
      <w:r>
        <w:rPr>
          <w:spacing w:val="1"/>
        </w:rPr>
        <w:t xml:space="preserve"> </w:t>
      </w:r>
      <w:r>
        <w:t>document includes</w:t>
      </w:r>
      <w:r>
        <w:rPr>
          <w:spacing w:val="-3"/>
        </w:rPr>
        <w:t xml:space="preserve"> </w:t>
      </w:r>
      <w:r>
        <w:t>a Glossary 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appendices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resources.</w:t>
      </w:r>
    </w:p>
    <w:p w14:paraId="458C961C" w14:textId="77777777" w:rsidR="006514C4" w:rsidRDefault="00637938">
      <w:pPr>
        <w:pStyle w:val="BodyText"/>
        <w:spacing w:before="157" w:line="259" w:lineRule="auto"/>
        <w:ind w:left="119" w:right="355"/>
      </w:pPr>
      <w:r>
        <w:t>The full document has been translated into German, Spanish, Russian and Swedish. The Executive</w:t>
      </w:r>
      <w:r>
        <w:rPr>
          <w:spacing w:val="-47"/>
        </w:rPr>
        <w:t xml:space="preserve"> </w:t>
      </w:r>
      <w:r>
        <w:t>Summary is available in all official IFLA languages (</w:t>
      </w:r>
      <w:r>
        <w:t>French, German, Spanish, Russian, Arabic and</w:t>
      </w:r>
      <w:r>
        <w:rPr>
          <w:spacing w:val="1"/>
        </w:rPr>
        <w:t xml:space="preserve"> </w:t>
      </w:r>
      <w:r>
        <w:t>Chinese) as well as Italian and Swedish. There is also a poster that has been translated into 33</w:t>
      </w:r>
      <w:r>
        <w:rPr>
          <w:spacing w:val="1"/>
        </w:rPr>
        <w:t xml:space="preserve"> </w:t>
      </w:r>
      <w:r>
        <w:t>languages.</w:t>
      </w:r>
    </w:p>
    <w:p w14:paraId="458C961D" w14:textId="77777777" w:rsidR="006514C4" w:rsidRDefault="00637938">
      <w:pPr>
        <w:pStyle w:val="BodyText"/>
        <w:spacing w:before="160" w:line="259" w:lineRule="auto"/>
        <w:ind w:left="119" w:right="129"/>
      </w:pPr>
      <w:r>
        <w:t>While IFLA recommends that their international Standards and Guidelines should be reviewed every</w:t>
      </w:r>
      <w:r>
        <w:rPr>
          <w:spacing w:val="-47"/>
        </w:rPr>
        <w:t xml:space="preserve"> </w:t>
      </w:r>
      <w:r>
        <w:t>five y</w:t>
      </w:r>
      <w:r>
        <w:t xml:space="preserve">ears, the CPDWL Standing Committee was already aware of the need to update the </w:t>
      </w:r>
      <w:r>
        <w:rPr>
          <w:i/>
        </w:rPr>
        <w:t>Guidelines</w:t>
      </w:r>
      <w:r>
        <w:rPr>
          <w:i/>
          <w:spacing w:val="1"/>
        </w:rPr>
        <w:t xml:space="preserve"> </w:t>
      </w:r>
      <w:r>
        <w:rPr>
          <w:i/>
        </w:rPr>
        <w:t xml:space="preserve">for CPD. </w:t>
      </w:r>
      <w:r>
        <w:t>It is acknowledged that the principles and best practices discussed in the document</w:t>
      </w:r>
      <w:r>
        <w:rPr>
          <w:spacing w:val="1"/>
        </w:rPr>
        <w:t xml:space="preserve"> </w:t>
      </w:r>
      <w:r>
        <w:t>primarily</w:t>
      </w:r>
      <w:r>
        <w:rPr>
          <w:spacing w:val="-2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face-to-face</w:t>
      </w:r>
      <w:r>
        <w:rPr>
          <w:spacing w:val="-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environment:</w:t>
      </w:r>
      <w:r>
        <w:rPr>
          <w:spacing w:val="-1"/>
        </w:rPr>
        <w:t xml:space="preserve"> </w:t>
      </w:r>
      <w:r>
        <w:t>conferences,</w:t>
      </w:r>
      <w:r>
        <w:rPr>
          <w:spacing w:val="-5"/>
        </w:rPr>
        <w:t xml:space="preserve"> </w:t>
      </w:r>
      <w:r>
        <w:t>s</w:t>
      </w:r>
      <w:r>
        <w:t>eminars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workshops.</w:t>
      </w:r>
    </w:p>
    <w:p w14:paraId="458C961E" w14:textId="77777777" w:rsidR="006514C4" w:rsidRDefault="00637938">
      <w:pPr>
        <w:pStyle w:val="BodyText"/>
        <w:spacing w:line="256" w:lineRule="auto"/>
        <w:ind w:left="119" w:right="418"/>
      </w:pPr>
      <w:r>
        <w:t>Although a brief note indicates that additional quality issues should be considered when learning</w:t>
      </w:r>
      <w:r>
        <w:rPr>
          <w:spacing w:val="-47"/>
        </w:rPr>
        <w:t xml:space="preserve"> </w:t>
      </w:r>
      <w:r>
        <w:t>happens online, it is important to ensure that there is a balance between analogue and digital</w:t>
      </w:r>
      <w:r>
        <w:rPr>
          <w:spacing w:val="1"/>
        </w:rPr>
        <w:t xml:space="preserve"> </w:t>
      </w:r>
      <w:r>
        <w:t>learning.</w:t>
      </w:r>
    </w:p>
    <w:p w14:paraId="458C961F" w14:textId="77777777" w:rsidR="006514C4" w:rsidRDefault="00637938">
      <w:pPr>
        <w:pStyle w:val="BodyText"/>
        <w:spacing w:before="106" w:line="259" w:lineRule="auto"/>
        <w:ind w:left="118" w:right="202"/>
      </w:pPr>
      <w:r>
        <w:t>The impact of COVID-19 on CPD has been profound. While professional learning events were either</w:t>
      </w:r>
      <w:r>
        <w:rPr>
          <w:spacing w:val="-47"/>
        </w:rPr>
        <w:t xml:space="preserve"> </w:t>
      </w:r>
      <w:r>
        <w:t>cancelled or forced online, the unprecedented challenges of shifting to a digital learning</w:t>
      </w:r>
      <w:r>
        <w:rPr>
          <w:spacing w:val="1"/>
        </w:rPr>
        <w:t xml:space="preserve"> </w:t>
      </w:r>
      <w:r>
        <w:t xml:space="preserve">environment have led to mixed results. CPDWL has recognised that the </w:t>
      </w:r>
      <w:r>
        <w:t>evolving professional</w:t>
      </w:r>
      <w:r>
        <w:rPr>
          <w:spacing w:val="1"/>
        </w:rPr>
        <w:t xml:space="preserve"> </w:t>
      </w:r>
      <w:r>
        <w:t xml:space="preserve">development environment represents the imperative to look at the </w:t>
      </w:r>
      <w:r>
        <w:rPr>
          <w:i/>
        </w:rPr>
        <w:t xml:space="preserve">Guidelines </w:t>
      </w:r>
      <w:r>
        <w:t>with fresh eyes to</w:t>
      </w:r>
      <w:r>
        <w:rPr>
          <w:spacing w:val="1"/>
        </w:rPr>
        <w:t xml:space="preserve"> </w:t>
      </w:r>
      <w:r>
        <w:t>ensure that they embrace the principles and best practices that consider the value of open</w:t>
      </w:r>
      <w:r>
        <w:rPr>
          <w:spacing w:val="1"/>
        </w:rPr>
        <w:t xml:space="preserve"> </w:t>
      </w:r>
      <w:r>
        <w:t>educational resources, support the development o</w:t>
      </w:r>
      <w:r>
        <w:t>f innovative content and stimulate engaging and</w:t>
      </w:r>
      <w:r>
        <w:rPr>
          <w:spacing w:val="-47"/>
        </w:rPr>
        <w:t xml:space="preserve"> </w:t>
      </w:r>
      <w:r>
        <w:t>interactive learning experiences in a virtual world. It is important to determine how high quality,</w:t>
      </w:r>
      <w:r>
        <w:rPr>
          <w:spacing w:val="1"/>
        </w:rPr>
        <w:t xml:space="preserve"> </w:t>
      </w:r>
      <w:r>
        <w:t>engaging learning content should be created, and think about the ways in which support and</w:t>
      </w:r>
      <w:r>
        <w:rPr>
          <w:spacing w:val="1"/>
        </w:rPr>
        <w:t xml:space="preserve"> </w:t>
      </w:r>
      <w:r>
        <w:t xml:space="preserve">assistance could </w:t>
      </w:r>
      <w:r>
        <w:t>be provided to LIS professionals to help them learn how to engage with PD and</w:t>
      </w:r>
      <w:r>
        <w:rPr>
          <w:spacing w:val="1"/>
        </w:rPr>
        <w:t xml:space="preserve"> </w:t>
      </w:r>
      <w:r>
        <w:t>truly develop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PD</w:t>
      </w:r>
      <w:r>
        <w:rPr>
          <w:spacing w:val="1"/>
        </w:rPr>
        <w:t xml:space="preserve"> </w:t>
      </w:r>
      <w:r>
        <w:t>activities.</w:t>
      </w:r>
    </w:p>
    <w:p w14:paraId="458C9620" w14:textId="77777777" w:rsidR="006514C4" w:rsidRDefault="00637938">
      <w:pPr>
        <w:pStyle w:val="BodyText"/>
        <w:spacing w:before="97" w:line="259" w:lineRule="auto"/>
        <w:ind w:left="118" w:right="379"/>
      </w:pPr>
      <w:r>
        <w:t>This research project will involve an environmental scan and literature review to identify relevant</w:t>
      </w:r>
      <w:r>
        <w:rPr>
          <w:spacing w:val="-47"/>
        </w:rPr>
        <w:t xml:space="preserve"> </w:t>
      </w:r>
      <w:r>
        <w:t>standards,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frameworks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experiences.</w:t>
      </w:r>
    </w:p>
    <w:p w14:paraId="458C9622" w14:textId="4986CF10" w:rsidR="006514C4" w:rsidRDefault="00637938" w:rsidP="00637938">
      <w:pPr>
        <w:pStyle w:val="BodyText"/>
        <w:spacing w:before="1" w:line="254" w:lineRule="auto"/>
        <w:ind w:left="118" w:right="803"/>
        <w:sectPr w:rsidR="006514C4">
          <w:type w:val="continuous"/>
          <w:pgSz w:w="11910" w:h="16840"/>
          <w:pgMar w:top="1420" w:right="1380" w:bottom="280" w:left="1320" w:header="720" w:footer="720" w:gutter="0"/>
          <w:cols w:space="720"/>
        </w:sectPr>
      </w:pPr>
      <w:r>
        <w:t>Relevant resources will hopefully reflect the needs of LIS professionals in different countries,</w:t>
      </w:r>
      <w:r>
        <w:rPr>
          <w:spacing w:val="-47"/>
        </w:rPr>
        <w:t xml:space="preserve"> </w:t>
      </w:r>
      <w:r>
        <w:t>regions,</w:t>
      </w:r>
      <w:r>
        <w:rPr>
          <w:spacing w:val="-3"/>
        </w:rPr>
        <w:t xml:space="preserve"> </w:t>
      </w:r>
      <w:r>
        <w:t>cultures and</w:t>
      </w:r>
      <w:r>
        <w:rPr>
          <w:spacing w:val="-1"/>
        </w:rPr>
        <w:t xml:space="preserve"> </w:t>
      </w:r>
      <w:r>
        <w:t>languages.</w:t>
      </w:r>
      <w:bookmarkStart w:id="0" w:name="_GoBack"/>
      <w:bookmarkEnd w:id="0"/>
    </w:p>
    <w:p w14:paraId="458C9623" w14:textId="77777777" w:rsidR="006514C4" w:rsidRDefault="006514C4">
      <w:pPr>
        <w:pStyle w:val="BodyText"/>
        <w:rPr>
          <w:sz w:val="14"/>
        </w:rPr>
      </w:pPr>
    </w:p>
    <w:sectPr w:rsidR="006514C4">
      <w:pgSz w:w="11910" w:h="16840"/>
      <w:pgMar w:top="15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C4"/>
    <w:rsid w:val="00637938"/>
    <w:rsid w:val="006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9613"/>
  <w15:docId w15:val="{BAEF864C-6582-471B-9736-AD40D99C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la.org/cpdw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fla.org/publications/node/11885?og=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fla.org/publications/node/11885?og=8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fl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BFB25EE934439F574BC264F0B8E6" ma:contentTypeVersion="12" ma:contentTypeDescription="Create a new document." ma:contentTypeScope="" ma:versionID="9267d6e15053ed9f7ef032df47c7ee2d">
  <xsd:schema xmlns:xsd="http://www.w3.org/2001/XMLSchema" xmlns:xs="http://www.w3.org/2001/XMLSchema" xmlns:p="http://schemas.microsoft.com/office/2006/metadata/properties" xmlns:ns3="5053a65b-a790-45aa-b23d-3e4902a85933" xmlns:ns4="6b707ee7-774c-4141-8c69-3f50efb0eaa0" targetNamespace="http://schemas.microsoft.com/office/2006/metadata/properties" ma:root="true" ma:fieldsID="cd07660a9d674e8bd30b5539ce4eeb53" ns3:_="" ns4:_="">
    <xsd:import namespace="5053a65b-a790-45aa-b23d-3e4902a85933"/>
    <xsd:import namespace="6b707ee7-774c-4141-8c69-3f50efb0e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a65b-a790-45aa-b23d-3e4902a85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07ee7-774c-4141-8c69-3f50efb0e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2883B-9BD9-4318-8772-DF89082C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a65b-a790-45aa-b23d-3e4902a85933"/>
    <ds:schemaRef ds:uri="6b707ee7-774c-4141-8c69-3f50efb0e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F70F8-2C87-4A0F-B1C3-96F3E2346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7DB9E-C9BA-4704-8267-F5325AA9F6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53a65b-a790-45aa-b23d-3e4902a85933"/>
    <ds:schemaRef ds:uri="http://purl.org/dc/dcmitype/"/>
    <ds:schemaRef ds:uri="http://schemas.microsoft.com/office/2006/documentManagement/types"/>
    <ds:schemaRef ds:uri="http://schemas.microsoft.com/office/infopath/2007/PartnerControls"/>
    <ds:schemaRef ds:uri="6b707ee7-774c-4141-8c69-3f50efb0ea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Gaby Haddow</cp:lastModifiedBy>
  <cp:revision>2</cp:revision>
  <dcterms:created xsi:type="dcterms:W3CDTF">2021-08-18T06:29:00Z</dcterms:created>
  <dcterms:modified xsi:type="dcterms:W3CDTF">2021-08-18T06:29:00Z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2021-08-18T00:00:00Z</vt:filetime>
  </property>
  <property fmtid="{D5CDD505-2E9C-101B-9397-08002B2CF9AE}" pid="5" name="ContentTypeId">
    <vt:lpwstr>0x010100CD1ABFB25EE934439F574BC264F0B8E6</vt:lpwstr>
  </property>
</Properties>
</file>